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14" w:rsidRDefault="00F45014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доходов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2023-2024гг.</w:t>
      </w:r>
    </w:p>
    <w:p w:rsidR="00F45014" w:rsidRDefault="00F45014" w:rsidP="00F4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0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2"/>
        <w:gridCol w:w="1407"/>
        <w:gridCol w:w="1276"/>
        <w:gridCol w:w="1286"/>
        <w:gridCol w:w="1458"/>
        <w:gridCol w:w="1519"/>
        <w:gridCol w:w="1417"/>
        <w:gridCol w:w="986"/>
      </w:tblGrid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Исполнено, </w:t>
            </w:r>
            <w:r w:rsidRPr="00324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Первоначальный бюджет 2024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Уточненный бюджет 2024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Исполнено, </w:t>
            </w:r>
            <w:r w:rsidRPr="00324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19" w:type="dxa"/>
          </w:tcPr>
          <w:p w:rsidR="00F45014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первоначального плана</w:t>
            </w:r>
          </w:p>
        </w:tc>
        <w:tc>
          <w:tcPr>
            <w:tcW w:w="1417" w:type="dxa"/>
          </w:tcPr>
          <w:p w:rsidR="00F45014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к уточненному плану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</w:t>
            </w:r>
            <w:r w:rsidRPr="00324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 2023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ВСЕГО, в том числе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143181,1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120268,8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192233,3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191210,7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159,8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25 771,90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27122,6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32358,4</w:t>
            </w:r>
          </w:p>
        </w:tc>
        <w:tc>
          <w:tcPr>
            <w:tcW w:w="1458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35 402,50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119,3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109,4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доходы, в т.ч.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24523,4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24766,0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31060,8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33799,5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125,4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17738,8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17612,0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23386,0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25213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132,8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107,8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4177,1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4777,2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116,6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2395,6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3146,0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3183,9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101,2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132,9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</w:t>
            </w: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маемый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 с упрощенной системой налогообложения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2248,4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2933,5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вмененный доход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</w:t>
            </w: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маемый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 с применением патентной системы налогообложения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255,5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100,2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 пошлина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211,9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625,4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204,6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144,8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295,1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доходы, в том числе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1248,5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2356,6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1297,6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123,5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514,5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498,6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132,0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96,9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пользование природными ресурсами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199,3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43,2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платных услуг и компенсации затрат государства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133,7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519" w:type="dxa"/>
          </w:tcPr>
          <w:p w:rsidR="00F45014" w:rsidRPr="00F45014" w:rsidRDefault="00F45014" w:rsidP="00807C7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45014" w:rsidRPr="00F92F48" w:rsidRDefault="00F45014" w:rsidP="00807C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112,9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07C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73,4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1683,6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441,7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441,1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864,9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ущербы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458,1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171,6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поступления, в том числе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117409,2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93146,2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159874,9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155808,2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171,6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50668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37569,0</w:t>
            </w:r>
          </w:p>
        </w:tc>
        <w:tc>
          <w:tcPr>
            <w:tcW w:w="1286" w:type="dxa"/>
          </w:tcPr>
          <w:p w:rsidR="00F45014" w:rsidRPr="0032440A" w:rsidRDefault="005F64C7" w:rsidP="005F64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73567,8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73567,9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195,7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29597,3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19837,0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41551,2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37929,2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209,5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32220,4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33594,1</w:t>
            </w:r>
          </w:p>
        </w:tc>
        <w:tc>
          <w:tcPr>
            <w:tcW w:w="1286" w:type="dxa"/>
          </w:tcPr>
          <w:p w:rsidR="00F45014" w:rsidRPr="0032440A" w:rsidRDefault="005F64C7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40096,0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40001,3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119,5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124,1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4940,4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2146,0</w:t>
            </w: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4659,</w:t>
            </w:r>
            <w:r w:rsidR="005F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4309,8</w:t>
            </w:r>
          </w:p>
        </w:tc>
        <w:tc>
          <w:tcPr>
            <w:tcW w:w="1519" w:type="dxa"/>
            <w:vAlign w:val="bottom"/>
          </w:tcPr>
          <w:p w:rsidR="00F45014" w:rsidRPr="00F45014" w:rsidRDefault="00F45014" w:rsidP="00F4501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45014">
              <w:rPr>
                <w:rFonts w:ascii="Times New Roman" w:hAnsi="Times New Roman" w:cs="Times New Roman"/>
                <w:color w:val="000000"/>
              </w:rPr>
              <w:t>217,1</w:t>
            </w:r>
          </w:p>
        </w:tc>
        <w:tc>
          <w:tcPr>
            <w:tcW w:w="1417" w:type="dxa"/>
          </w:tcPr>
          <w:p w:rsidR="00F45014" w:rsidRPr="00F92F48" w:rsidRDefault="00F45014" w:rsidP="008247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48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</w:t>
            </w:r>
          </w:p>
        </w:tc>
      </w:tr>
      <w:tr w:rsidR="00F45014" w:rsidRPr="0032440A" w:rsidTr="000B20A4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межбюджетных трансфертов прошлых лет</w:t>
            </w:r>
          </w:p>
        </w:tc>
        <w:tc>
          <w:tcPr>
            <w:tcW w:w="1407" w:type="dxa"/>
            <w:shd w:val="clear" w:color="auto" w:fill="auto"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-16,9</w:t>
            </w:r>
          </w:p>
        </w:tc>
        <w:tc>
          <w:tcPr>
            <w:tcW w:w="127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F45014" w:rsidRPr="0032440A" w:rsidRDefault="00F45014" w:rsidP="0082473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A6E86" w:rsidRDefault="00F45014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уточненного бюджета за 2024 год по доходам значительно превышают показатели первоначального бюджета. Рост составил 59,8%. План по налоговым доходам возрос на 25,4% против первоначального плана. Росту способствовало поступление НДФЛ в суммах, превышающих прогнозные показатели  бюджета на 2024 год (+32,8%).</w:t>
      </w:r>
    </w:p>
    <w:p w:rsidR="001A6E86" w:rsidRDefault="001A6E86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увеличились в сравнении с первоначальным планом на 10,5%. Причиной является уплата всех начисленных налогов плательщиками в полных суммах. </w:t>
      </w:r>
    </w:p>
    <w:p w:rsidR="001A6E86" w:rsidRDefault="00F45014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 в два раза вырос план по госпошлине. </w:t>
      </w:r>
      <w:r w:rsidR="001A6E86">
        <w:rPr>
          <w:rFonts w:ascii="Times New Roman" w:hAnsi="Times New Roman" w:cs="Times New Roman"/>
          <w:sz w:val="28"/>
          <w:szCs w:val="28"/>
        </w:rPr>
        <w:t>План уточнен в соответствии с поступлениями, увеличилось количество рассматриваемых дел, связанных с уплатой госпошлины.</w:t>
      </w:r>
    </w:p>
    <w:p w:rsidR="00F45014" w:rsidRDefault="00F45014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план по неналоговым доходам уменьшился, поскольку не выполнялся план приватизации муниципального имущества по причине отсутствия спроса на предложенные к продаже объекты.</w:t>
      </w:r>
    </w:p>
    <w:p w:rsidR="001A6E86" w:rsidRPr="001A6E86" w:rsidRDefault="001A6E86" w:rsidP="00F45014">
      <w:pPr>
        <w:jc w:val="both"/>
        <w:rPr>
          <w:rFonts w:ascii="Times New Roman" w:hAnsi="Times New Roman" w:cs="Times New Roman"/>
          <w:sz w:val="28"/>
          <w:szCs w:val="28"/>
        </w:rPr>
      </w:pPr>
      <w:r w:rsidRPr="001A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увеличены по причине того, что не все платежи были предусмотрены первоначальным планом.</w:t>
      </w:r>
    </w:p>
    <w:p w:rsidR="00254D2F" w:rsidRDefault="00254D2F" w:rsidP="00F45014">
      <w:pPr>
        <w:jc w:val="both"/>
        <w:rPr>
          <w:rFonts w:ascii="Times New Roman" w:hAnsi="Times New Roman" w:cs="Times New Roman"/>
          <w:sz w:val="28"/>
          <w:szCs w:val="28"/>
        </w:rPr>
        <w:sectPr w:rsidR="00254D2F" w:rsidSect="000B20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Увеличилось поступление безвозмездных поступлений на 71,6%.</w:t>
      </w:r>
      <w:r w:rsidR="000B20A4">
        <w:rPr>
          <w:rFonts w:ascii="Times New Roman" w:hAnsi="Times New Roman" w:cs="Times New Roman"/>
          <w:sz w:val="28"/>
          <w:szCs w:val="28"/>
        </w:rPr>
        <w:t xml:space="preserve"> </w:t>
      </w:r>
      <w:r w:rsidR="001A6E86">
        <w:rPr>
          <w:rFonts w:ascii="Times New Roman" w:hAnsi="Times New Roman" w:cs="Times New Roman"/>
          <w:sz w:val="28"/>
          <w:szCs w:val="28"/>
        </w:rPr>
        <w:t>Выделялись дополнительно</w:t>
      </w:r>
      <w:r w:rsidR="000B20A4">
        <w:rPr>
          <w:rFonts w:ascii="Times New Roman" w:hAnsi="Times New Roman" w:cs="Times New Roman"/>
          <w:sz w:val="28"/>
          <w:szCs w:val="28"/>
        </w:rPr>
        <w:t>: дотации, субсидии, субвенции, иные межбюджетные трансферты.</w:t>
      </w:r>
    </w:p>
    <w:p w:rsidR="00F45014" w:rsidRDefault="00F45014" w:rsidP="00F45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 МО «</w:t>
      </w:r>
      <w:proofErr w:type="spell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Усвятский</w:t>
      </w:r>
      <w:proofErr w:type="spell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район» за 2024 год по доходам выполнен на 99,5%. Утверждено по бюджету 192233,3 тыс. руб. Исполнено 191210,8тыс. руб.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Бюджет по налоговым и неналоговым доходам выполнен на 109,4%. Утверждено по бюджету 32358,5тыс. руб. Исполнено 35402,6 тыс. руб.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по налогу  на доходы физических лиц выполнен на 107,8%. Утверждено 23386,0тыс. руб. Исполнено 25212,9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Поступления налога на доходы физических лиц возросли в сравнении с 2023 г. на 42,1%. Рост доходов бюджета связан, в первую очередь, с ростом   заработной платы (соответственно, увеличивается  НДФЛ). Ежегодно происходит увеличение заработной платы «указных» категорий работников (образование, культура), что также влияет на поступление данного налога.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по поступлению акцизов по подакцизным товарам (продукции), производимым на территории Российской Федерации выполнен на 116,6%. Сверх плана поступили доходы в сумме 680,2 тыс. руб.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по налогу на совокупный доход выполнен на 101,2%.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по поступлению госпошлины выполнен на 144,8%.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по доходам от использования имущества, находящегося в государственной или муниципальной собственности выполнен на 147,1%. Свыше утвержденного плана поступили доходы в сумме 210,0 тыс. руб. Данный факт объясняется увеличением количества арендуемых площадей муниципального имущества.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по платежам при пользовании природными ресурсами выполнен на 81,3%. 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по поступлению доходов от продажи материальных и нематериальных активов выполнен на 100,0%. Причиной выполнения в данном случае является продажа квартиры на ул. Юбилейная.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по штрафам, санкциям и возмещению ущерба выполнен на 171,5%. Сверх утвержденного плана поступило в бюджет 191,1 тыс. руб. Это </w:t>
      </w: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объясняется поступлением значительной суммы штрафа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</w:t>
      </w:r>
      <w:proofErr w:type="gram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по безвозмездным поступлениям выполнен на 97,5%.</w:t>
      </w:r>
      <w:r w:rsidR="000B2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Недопоступили</w:t>
      </w:r>
      <w:proofErr w:type="spell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суммы 40666,7 тыс. руб., в том числе: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</w:t>
      </w:r>
      <w:r w:rsidR="000B2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сидии на реконструкцию, капитальный ремонт и техническое перевооружение объектов коммунальной инфраструктуры (реконструкция централизованной системы канализации, очистных сооружений) 3185,4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65,1 тыс. руб.</w:t>
      </w:r>
      <w:proofErr w:type="gramEnd"/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  46,2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Субсидии на реализацию мероприятий в рамках основного мероприятия «Развитие и совершенствование института добровольных народных дружин» 35,9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Прочие субсидии бюджетам муниципальных районо</w:t>
      </w:r>
      <w:proofErr w:type="gram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в(</w:t>
      </w:r>
      <w:proofErr w:type="gram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Субсидии на реализацию мероприятий по адаптации социально значимых учреждений к потребностям </w:t>
      </w:r>
      <w:proofErr w:type="spell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маломобильных</w:t>
      </w:r>
      <w:proofErr w:type="spell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групп населения) 59,4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Прочие субсидии бюджетам муниципальных районо</w:t>
      </w:r>
      <w:proofErr w:type="gram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в(</w:t>
      </w:r>
      <w:proofErr w:type="gram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Субсидии на осуществление мероприятий по организации питания в муниципальных общеобразовательных учреждениях) 204,6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 осваивающими образовательные программы дошкольного образования в организациях, осуществляющих образовательную деятельность 25,4 тыс. руб.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 350,0 тыс</w:t>
      </w:r>
      <w:proofErr w:type="gramStart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.р</w:t>
      </w:r>
      <w:proofErr w:type="gramEnd"/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уб.</w:t>
      </w:r>
    </w:p>
    <w:p w:rsidR="006A1B52" w:rsidRPr="006A1B52" w:rsidRDefault="006A1B52" w:rsidP="00254D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 11,8 тыс. руб. и другие.</w:t>
      </w:r>
    </w:p>
    <w:p w:rsidR="00F922B0" w:rsidRDefault="00F922B0" w:rsidP="00254D2F"/>
    <w:sectPr w:rsidR="00F922B0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14"/>
    <w:rsid w:val="000B20A4"/>
    <w:rsid w:val="001A6E86"/>
    <w:rsid w:val="00254D2F"/>
    <w:rsid w:val="00337C92"/>
    <w:rsid w:val="003E198E"/>
    <w:rsid w:val="00564D9C"/>
    <w:rsid w:val="005D4F7C"/>
    <w:rsid w:val="005F2ACC"/>
    <w:rsid w:val="005F64C7"/>
    <w:rsid w:val="006A1B52"/>
    <w:rsid w:val="00807C76"/>
    <w:rsid w:val="00910C31"/>
    <w:rsid w:val="00A9690C"/>
    <w:rsid w:val="00B604E8"/>
    <w:rsid w:val="00D47059"/>
    <w:rsid w:val="00F050D1"/>
    <w:rsid w:val="00F45014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F732-FC38-42EA-9A56-7C41CAC6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2025-04-22T07:46:00Z</cp:lastPrinted>
  <dcterms:created xsi:type="dcterms:W3CDTF">2025-04-22T07:42:00Z</dcterms:created>
  <dcterms:modified xsi:type="dcterms:W3CDTF">2025-04-22T13:57:00Z</dcterms:modified>
</cp:coreProperties>
</file>